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31.2" w:lineRule="auto"/>
        <w:jc w:val="center"/>
        <w:rPr>
          <w:b w:val="1"/>
          <w:color w:val="222222"/>
          <w:sz w:val="20"/>
          <w:szCs w:val="20"/>
        </w:rPr>
      </w:pPr>
      <w:r w:rsidDel="00000000" w:rsidR="00000000" w:rsidRPr="00000000">
        <w:rPr>
          <w:color w:val="1155cc"/>
        </w:rPr>
        <w:drawing>
          <wp:inline distB="114300" distT="114300" distL="114300" distR="114300">
            <wp:extent cx="1609725" cy="1524000"/>
            <wp:effectExtent b="0" l="0" r="0" t="0"/>
            <wp:docPr id="1" name="image1.png"/>
            <a:graphic>
              <a:graphicData uri="http://schemas.openxmlformats.org/drawingml/2006/picture">
                <pic:pic>
                  <pic:nvPicPr>
                    <pic:cNvPr id="0" name="image1.png"/>
                    <pic:cNvPicPr preferRelativeResize="0"/>
                  </pic:nvPicPr>
                  <pic:blipFill>
                    <a:blip r:embed="rId6"/>
                    <a:srcRect b="11538" l="8653" r="10096" t="11538"/>
                    <a:stretch>
                      <a:fillRect/>
                    </a:stretch>
                  </pic:blipFill>
                  <pic:spPr>
                    <a:xfrm>
                      <a:off x="0" y="0"/>
                      <a:ext cx="160972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Noblesville Creates</w:t>
      </w:r>
    </w:p>
    <w:p w:rsidR="00000000" w:rsidDel="00000000" w:rsidP="00000000" w:rsidRDefault="00000000" w:rsidRPr="00000000" w14:paraId="00000003">
      <w:pPr>
        <w:spacing w:line="276" w:lineRule="auto"/>
        <w:jc w:val="center"/>
        <w:rPr>
          <w:sz w:val="20"/>
          <w:szCs w:val="20"/>
          <w:highlight w:val="white"/>
        </w:rPr>
      </w:pPr>
      <w:r w:rsidDel="00000000" w:rsidR="00000000" w:rsidRPr="00000000">
        <w:rPr>
          <w:sz w:val="20"/>
          <w:szCs w:val="20"/>
          <w:highlight w:val="white"/>
          <w:rtl w:val="0"/>
        </w:rPr>
        <w:t xml:space="preserve">107 S 8th St.</w:t>
      </w:r>
    </w:p>
    <w:p w:rsidR="00000000" w:rsidDel="00000000" w:rsidP="00000000" w:rsidRDefault="00000000" w:rsidRPr="00000000" w14:paraId="00000004">
      <w:pPr>
        <w:spacing w:line="276" w:lineRule="auto"/>
        <w:jc w:val="center"/>
        <w:rPr>
          <w:sz w:val="20"/>
          <w:szCs w:val="20"/>
          <w:highlight w:val="white"/>
        </w:rPr>
      </w:pPr>
      <w:r w:rsidDel="00000000" w:rsidR="00000000" w:rsidRPr="00000000">
        <w:rPr>
          <w:sz w:val="20"/>
          <w:szCs w:val="20"/>
          <w:highlight w:val="white"/>
          <w:rtl w:val="0"/>
        </w:rPr>
        <w:t xml:space="preserve">Noblesville, IN 46060</w:t>
      </w:r>
    </w:p>
    <w:p w:rsidR="00000000" w:rsidDel="00000000" w:rsidP="00000000" w:rsidRDefault="00000000" w:rsidRPr="00000000" w14:paraId="00000005">
      <w:pPr>
        <w:spacing w:line="276" w:lineRule="auto"/>
        <w:jc w:val="center"/>
        <w:rPr>
          <w:b w:val="1"/>
          <w:color w:val="222222"/>
          <w:sz w:val="20"/>
          <w:szCs w:val="20"/>
        </w:rPr>
      </w:pPr>
      <w:r w:rsidDel="00000000" w:rsidR="00000000" w:rsidRPr="00000000">
        <w:rPr>
          <w:sz w:val="20"/>
          <w:szCs w:val="20"/>
          <w:highlight w:val="white"/>
          <w:rtl w:val="0"/>
        </w:rPr>
        <w:t xml:space="preserve">Phone: (317) 452-3690 | Email: info@noblesvillecreates.org</w:t>
      </w: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FOR IMMEDIATE RELEASE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MEDIA CONTACT</w:t>
      </w:r>
    </w:p>
    <w:p w:rsidR="00000000" w:rsidDel="00000000" w:rsidP="00000000" w:rsidRDefault="00000000" w:rsidRPr="00000000" w14:paraId="0000000A">
      <w:pPr>
        <w:rPr>
          <w:highlight w:val="white"/>
        </w:rPr>
      </w:pPr>
      <w:r w:rsidDel="00000000" w:rsidR="00000000" w:rsidRPr="00000000">
        <w:rPr>
          <w:highlight w:val="white"/>
          <w:rtl w:val="0"/>
        </w:rPr>
        <w:t xml:space="preserve">Lydia Cheesman</w:t>
      </w:r>
    </w:p>
    <w:p w:rsidR="00000000" w:rsidDel="00000000" w:rsidP="00000000" w:rsidRDefault="00000000" w:rsidRPr="00000000" w14:paraId="0000000B">
      <w:pPr>
        <w:rPr>
          <w:highlight w:val="white"/>
        </w:rPr>
      </w:pPr>
      <w:r w:rsidDel="00000000" w:rsidR="00000000" w:rsidRPr="00000000">
        <w:rPr>
          <w:highlight w:val="white"/>
          <w:rtl w:val="0"/>
        </w:rPr>
        <w:t xml:space="preserve">lydia@coverdaleconsulting.com</w:t>
      </w:r>
    </w:p>
    <w:p w:rsidR="00000000" w:rsidDel="00000000" w:rsidP="00000000" w:rsidRDefault="00000000" w:rsidRPr="00000000" w14:paraId="0000000C">
      <w:pPr>
        <w:rPr/>
      </w:pPr>
      <w:r w:rsidDel="00000000" w:rsidR="00000000" w:rsidRPr="00000000">
        <w:rPr>
          <w:highlight w:val="white"/>
          <w:rtl w:val="0"/>
        </w:rPr>
        <w:t xml:space="preserve">317-306-1909</w:t>
      </w: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b w:val="1"/>
          <w:sz w:val="26"/>
          <w:szCs w:val="26"/>
          <w:rtl w:val="0"/>
        </w:rPr>
        <w:t xml:space="preserve">Noblesville Creates Celebrates Success of 13th Annual Fairyville, presented by Duke Energy</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NOBLESVILLE, Ind. (June</w:t>
      </w:r>
      <w:r w:rsidDel="00000000" w:rsidR="00000000" w:rsidRPr="00000000">
        <w:rPr>
          <w:b w:val="1"/>
          <w:rtl w:val="0"/>
        </w:rPr>
        <w:t xml:space="preserve"> 10</w:t>
      </w:r>
      <w:r w:rsidDel="00000000" w:rsidR="00000000" w:rsidRPr="00000000">
        <w:rPr>
          <w:b w:val="1"/>
          <w:rtl w:val="0"/>
        </w:rPr>
        <w:t xml:space="preserve">, 2025) —</w:t>
      </w:r>
      <w:r w:rsidDel="00000000" w:rsidR="00000000" w:rsidRPr="00000000">
        <w:rPr>
          <w:rtl w:val="0"/>
        </w:rPr>
        <w:t xml:space="preserve"> The 13th Annual Noblesville Creates Fairyville, presented by Duke Energy, returned to Noblesville Creates and Downtown Noblesville from April 23–26, 2025, for a four-day celebration of art, imagination, and environmental awareness. This year’s theme, “Energizing the Earth,” spotlighted the powerful connection between energy and nature, aligning with the mission of title sponsor Duke Energy.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 most events free and activities for all ages, Fairyville 2025 enchanted the community while delivering meaningful impact:</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We welcomed more than 1,300 visitors to our campus and are continuing to gather additional data on visitation and overall impact</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Provided a platform for 13 organizations to engage the public with Earth Day and conservation-focused messages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Celebrated the creativity of 27 Fairy House architects whose whimsical designs lined the beloved Fairy Trail</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Engaged over 200 families in art-centered activities such as artist-designed crafts and whimsical tea parties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Connected 9 partner organizations with each other and with attendees for future collaboration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Offered 49 vendors an opportunity to showcase and sell their handmade goods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Provided employment opportunities to over 60 artists, including musicians, actors, and visual artists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Had over $43,000 of economic impact in downtown Noblesville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Attendees enjoyed beloved signature events including the Fairy House Contest, Fairy Tea Parties, the Earth Celebration Parade, and Fairyville After Dark, an exclusive VIP experience for adults. Due to weather, this year’s Fairyville After Dark was hosted by HCAA and made possible with support from Bar Ellis and sponsorship from Martin &amp; Martin.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Local businesses throughout Downtown Noblesville joined in the festivities with themed specials and pop-up events, further extending Fairyville's reach and magic.</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community-powered event was made possible by the support of Duke Energy, Mini Minds, Four Day Ray Brewing Fishers, Guardian Care, Playground Productions, Musicologie, Josiah White's, Bar Ellis, Renewal by Andersen, Martin &amp; Martin, Indy’s Child, SLS Group, LLC, and Noble Coffee.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Click </w:t>
      </w:r>
      <w:hyperlink r:id="rId7">
        <w:r w:rsidDel="00000000" w:rsidR="00000000" w:rsidRPr="00000000">
          <w:rPr>
            <w:color w:val="1155cc"/>
            <w:u w:val="single"/>
            <w:rtl w:val="0"/>
          </w:rPr>
          <w:t xml:space="preserve">here</w:t>
        </w:r>
      </w:hyperlink>
      <w:r w:rsidDel="00000000" w:rsidR="00000000" w:rsidRPr="00000000">
        <w:rPr>
          <w:rtl w:val="0"/>
        </w:rPr>
        <w:t xml:space="preserve"> to access pictures from this year’s event.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About Noblesville Creates</w:t>
      </w:r>
    </w:p>
    <w:p w:rsidR="00000000" w:rsidDel="00000000" w:rsidP="00000000" w:rsidRDefault="00000000" w:rsidRPr="00000000" w14:paraId="00000026">
      <w:pPr>
        <w:shd w:fill="ffffff" w:val="clear"/>
        <w:rPr/>
      </w:pPr>
      <w:r w:rsidDel="00000000" w:rsidR="00000000" w:rsidRPr="00000000">
        <w:rPr>
          <w:rtl w:val="0"/>
        </w:rPr>
      </w:r>
    </w:p>
    <w:p w:rsidR="00000000" w:rsidDel="00000000" w:rsidP="00000000" w:rsidRDefault="00000000" w:rsidRPr="00000000" w14:paraId="00000027">
      <w:pPr>
        <w:shd w:fill="ffffff" w:val="clear"/>
        <w:rPr/>
      </w:pPr>
      <w:r w:rsidDel="00000000" w:rsidR="00000000" w:rsidRPr="00000000">
        <w:rPr>
          <w:rtl w:val="0"/>
        </w:rPr>
        <w:t xml:space="preserve">Noblesville Creates (formerly Nickel Plate Arts) champions the arts as an essential element of the economic health and cultural vitality of Noblesville and Central Indiana. As Noblesville's local arts agency, we catalyze opportunities for the arts and local creatives of all skill levels to thrive and lead in Central Indiana. We are also the Region 7 Arts Partner for the Indiana Arts Commission, serving the six counties at the center of the state. We cultivate classes, events, programs, and services for art-lovers and artists of all backgrounds and experience levels. Start your creative journey with us: we’ll help you connect and flourish.</w:t>
      </w:r>
    </w:p>
    <w:p w:rsidR="00000000" w:rsidDel="00000000" w:rsidP="00000000" w:rsidRDefault="00000000" w:rsidRPr="00000000" w14:paraId="00000028">
      <w:pPr>
        <w:shd w:fill="ffffff" w:val="clear"/>
        <w:rPr/>
      </w:pPr>
      <w:r w:rsidDel="00000000" w:rsidR="00000000" w:rsidRPr="00000000">
        <w:rPr>
          <w:rtl w:val="0"/>
        </w:rPr>
        <w:t xml:space="preserve"> </w:t>
      </w:r>
    </w:p>
    <w:p w:rsidR="00000000" w:rsidDel="00000000" w:rsidP="00000000" w:rsidRDefault="00000000" w:rsidRPr="00000000" w14:paraId="00000029">
      <w:pPr>
        <w:shd w:fill="ffffff" w:val="clear"/>
        <w:jc w:val="center"/>
        <w:rPr>
          <w:b w:val="1"/>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N06VAA4DWoU9Trp3VAvjUI2U3NQKY7kU?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